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D114F0">
        <w:trPr>
          <w:trHeight w:val="2162"/>
          <w:jc w:val="center"/>
        </w:trPr>
        <w:tc>
          <w:tcPr>
            <w:tcW w:w="9356" w:type="dxa"/>
            <w:gridSpan w:val="5"/>
          </w:tcPr>
          <w:p w:rsidR="00D114F0" w:rsidRDefault="004C5759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D114F0" w:rsidRDefault="00BC34BA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429369" cy="474453"/>
                  <wp:effectExtent l="0" t="0" r="8890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南郊热电4.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406" cy="474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5759"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D114F0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D114F0" w:rsidRDefault="004C5759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D114F0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D114F0" w:rsidRDefault="004C5759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2021年第097-6号</w:t>
            </w:r>
          </w:p>
        </w:tc>
      </w:tr>
      <w:tr w:rsidR="00D114F0">
        <w:trPr>
          <w:trHeight w:val="2678"/>
          <w:jc w:val="center"/>
        </w:trPr>
        <w:tc>
          <w:tcPr>
            <w:tcW w:w="9356" w:type="dxa"/>
            <w:gridSpan w:val="5"/>
          </w:tcPr>
          <w:p w:rsidR="00D114F0" w:rsidRDefault="00D114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D114F0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D114F0" w:rsidRDefault="004C575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D114F0" w:rsidRDefault="004C575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B10E2E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水</w:t>
            </w:r>
          </w:p>
        </w:tc>
      </w:tr>
      <w:tr w:rsidR="00D114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D114F0" w:rsidRDefault="004C575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14F0" w:rsidRDefault="004C575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D114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D114F0" w:rsidRDefault="004C575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14F0" w:rsidRDefault="004C575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D114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D114F0" w:rsidRDefault="004C575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14F0" w:rsidRDefault="004C575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2021年04月27日</w:t>
            </w:r>
          </w:p>
        </w:tc>
      </w:tr>
      <w:tr w:rsidR="00D114F0">
        <w:trPr>
          <w:trHeight w:val="2619"/>
          <w:jc w:val="center"/>
        </w:trPr>
        <w:tc>
          <w:tcPr>
            <w:tcW w:w="2637" w:type="dxa"/>
            <w:gridSpan w:val="2"/>
          </w:tcPr>
          <w:p w:rsidR="00D114F0" w:rsidRDefault="00D114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D114F0" w:rsidRDefault="00D114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D114F0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D114F0" w:rsidRDefault="004C575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D114F0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D114F0" w:rsidRDefault="004C575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D114F0" w:rsidRDefault="00D114F0">
      <w:pPr>
        <w:spacing w:beforeLines="50" w:before="163" w:afterLines="50" w:after="163" w:line="380" w:lineRule="exact"/>
      </w:pPr>
    </w:p>
    <w:p w:rsidR="00D114F0" w:rsidRDefault="00D114F0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D114F0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D114F0" w:rsidRDefault="004C5759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D114F0" w:rsidRDefault="004C5759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D114F0" w:rsidRDefault="004C5759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B10E2E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水</w:t>
            </w:r>
          </w:p>
        </w:tc>
        <w:tc>
          <w:tcPr>
            <w:tcW w:w="1525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段琦18266067766</w:t>
            </w:r>
          </w:p>
        </w:tc>
        <w:tc>
          <w:tcPr>
            <w:tcW w:w="1525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张超13465951618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D114F0" w:rsidRDefault="00B10E2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D114F0" w:rsidRDefault="00B10E2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杨其伟、刘鹏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D114F0" w:rsidRDefault="004C5759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D114F0" w:rsidRDefault="004C575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D114F0" w:rsidRDefault="004C5759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2021.04.21</w:t>
            </w:r>
          </w:p>
        </w:tc>
        <w:tc>
          <w:tcPr>
            <w:tcW w:w="1525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D114F0" w:rsidRDefault="004C5759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2021.04.21—22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D114F0" w:rsidRDefault="004C5759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D114F0" w:rsidRDefault="00D114F0">
            <w:pPr>
              <w:rPr>
                <w:rFonts w:hAnsi="宋体"/>
                <w:sz w:val="22"/>
                <w:szCs w:val="22"/>
              </w:rPr>
            </w:pP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D114F0" w:rsidRDefault="00D114F0">
            <w:pPr>
              <w:rPr>
                <w:rFonts w:hAnsi="宋体"/>
                <w:sz w:val="22"/>
                <w:szCs w:val="22"/>
              </w:rPr>
            </w:pPr>
          </w:p>
        </w:tc>
      </w:tr>
      <w:tr w:rsidR="00D114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D114F0" w:rsidRDefault="004C575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D114F0" w:rsidRDefault="00D114F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D114F0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D114F0" w:rsidRDefault="004C575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D114F0" w:rsidRDefault="004C5759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D114F0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D114F0" w:rsidRDefault="00D114F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D114F0" w:rsidRDefault="004C5759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D114F0" w:rsidRDefault="004C5759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D114F0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114F0" w:rsidRDefault="004C575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114F0" w:rsidRDefault="004C5759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D114F0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14F0" w:rsidRDefault="004C575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D114F0" w:rsidRDefault="00D114F0">
      <w:pPr>
        <w:spacing w:beforeLines="50" w:before="163" w:afterLines="50" w:after="163" w:line="20" w:lineRule="exact"/>
      </w:pPr>
    </w:p>
    <w:p w:rsidR="00D114F0" w:rsidRDefault="004C5759" w:rsidP="00B10E2E">
      <w:pPr>
        <w:pStyle w:val="Normala2e23acc-91c9-4e3b-bc1e-c4e873159b88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D114F0" w:rsidRDefault="004C5759">
      <w:pPr>
        <w:pStyle w:val="Normala2e23acc-91c9-4e3b-bc1e-c4e873159b88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D114F0" w:rsidRDefault="004C5759" w:rsidP="00B10E2E">
      <w:pPr>
        <w:pStyle w:val="Normala2e23acc-91c9-4e3b-bc1e-c4e873159b88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1417"/>
        <w:gridCol w:w="1843"/>
        <w:gridCol w:w="1985"/>
        <w:gridCol w:w="991"/>
      </w:tblGrid>
      <w:tr w:rsidR="00D114F0" w:rsidTr="00E3087F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114F0" w:rsidRDefault="004C5759">
            <w:pPr>
              <w:pStyle w:val="Normala2e23acc-91c9-4e3b-bc1e-c4e873159b88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 w:rsidR="00141A42">
              <w:rPr>
                <w:rFonts w:hAnsi="宋体" w:cs="宋体" w:hint="eastAsia"/>
                <w:sz w:val="30"/>
                <w:szCs w:val="30"/>
              </w:rPr>
              <w:t>1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1419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701" w:type="dxa"/>
            <w:vAlign w:val="center"/>
          </w:tcPr>
          <w:p w:rsidR="00B10E2E" w:rsidRPr="003242D0" w:rsidRDefault="004C5759" w:rsidP="00B10E2E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D114F0" w:rsidRPr="003242D0" w:rsidRDefault="004C5759" w:rsidP="00B10E2E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417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 w:val="restart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2021.04.21</w:t>
            </w:r>
          </w:p>
        </w:tc>
        <w:tc>
          <w:tcPr>
            <w:tcW w:w="1701" w:type="dxa"/>
            <w:vMerge w:val="restart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废水总排放口</w:t>
            </w: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FS2104211001</w:t>
            </w:r>
          </w:p>
        </w:tc>
        <w:tc>
          <w:tcPr>
            <w:tcW w:w="1417" w:type="dxa"/>
            <w:vMerge w:val="restart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8.0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23.3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流量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105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m³/h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26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1.14×10³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816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1.32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0.237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0.23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114F0" w:rsidTr="003242D0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114F0" w:rsidRPr="003242D0" w:rsidRDefault="00D114F0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985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0.49</w:t>
            </w:r>
          </w:p>
        </w:tc>
        <w:tc>
          <w:tcPr>
            <w:tcW w:w="991" w:type="dxa"/>
            <w:vAlign w:val="center"/>
          </w:tcPr>
          <w:p w:rsidR="00D114F0" w:rsidRPr="003242D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3242D0" w:rsidRDefault="003242D0">
      <w:pPr>
        <w:pStyle w:val="Normala2e23acc-91c9-4e3b-bc1e-c4e873159b88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609"/>
        <w:gridCol w:w="1843"/>
        <w:gridCol w:w="1701"/>
        <w:gridCol w:w="1651"/>
        <w:gridCol w:w="1133"/>
      </w:tblGrid>
      <w:tr w:rsidR="003242D0" w:rsidTr="00714558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3242D0" w:rsidRDefault="003242D0" w:rsidP="00714558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 w:rsidR="00141A42">
              <w:rPr>
                <w:rFonts w:hAnsi="宋体" w:cs="宋体" w:hint="eastAsia"/>
                <w:sz w:val="30"/>
                <w:szCs w:val="30"/>
              </w:rPr>
              <w:t>2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609" w:type="dxa"/>
            <w:vMerge w:val="restart"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5195" w:type="dxa"/>
            <w:gridSpan w:val="3"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195" w:type="dxa"/>
            <w:gridSpan w:val="3"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微黄</w:t>
            </w: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色</w:t>
            </w: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,无气味,无浮油</w:t>
            </w:r>
          </w:p>
        </w:tc>
        <w:tc>
          <w:tcPr>
            <w:tcW w:w="1133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195" w:type="dxa"/>
            <w:gridSpan w:val="3"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脱硫废水循环池</w:t>
            </w:r>
          </w:p>
        </w:tc>
        <w:tc>
          <w:tcPr>
            <w:tcW w:w="1133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FS2104211101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FS210421110</w:t>
            </w: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FS210421110</w:t>
            </w: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</w:p>
        </w:tc>
        <w:tc>
          <w:tcPr>
            <w:tcW w:w="1133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3242D0" w:rsidRPr="003242D0" w:rsidRDefault="003242D0" w:rsidP="00714558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2021.04.21</w:t>
            </w: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6.8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6.9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6.9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17.3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17.5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17.0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0.010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0.010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0.010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6.0×10</w:t>
            </w:r>
            <w:r w:rsidRPr="003242D0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 w:hint="eastAsia"/>
                <w:sz w:val="22"/>
                <w:szCs w:val="22"/>
              </w:rPr>
              <w:t>6.0×10</w:t>
            </w:r>
            <w:r w:rsidRPr="003242D0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6.0×10</w:t>
            </w:r>
            <w:r w:rsidRPr="003242D0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242D0" w:rsidTr="00714558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242D0" w:rsidRPr="003242D0" w:rsidRDefault="003242D0" w:rsidP="00714558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84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70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3242D0" w:rsidRPr="003242D0" w:rsidRDefault="003242D0" w:rsidP="00714558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42D0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3242D0" w:rsidRDefault="003242D0" w:rsidP="003242D0">
      <w:r>
        <w:rPr>
          <w:rFonts w:asciiTheme="minorHAnsi" w:eastAsiaTheme="minorEastAsia" w:hAnsiTheme="minorHAnsi" w:cstheme="minorBidi"/>
          <w:szCs w:val="22"/>
        </w:rPr>
        <w:br w:type="page"/>
      </w:r>
    </w:p>
    <w:p w:rsidR="00D114F0" w:rsidRDefault="004C5759">
      <w:pPr>
        <w:pStyle w:val="Normala2e23acc-91c9-4e3b-bc1e-c4e873159b88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lastRenderedPageBreak/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废水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4817"/>
        <w:gridCol w:w="1559"/>
        <w:gridCol w:w="850"/>
      </w:tblGrid>
      <w:tr w:rsidR="00D114F0" w:rsidTr="003242D0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81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pH</w:t>
            </w:r>
            <w:r w:rsidRPr="0032242F">
              <w:rPr>
                <w:rFonts w:hAnsi="宋体"/>
                <w:sz w:val="22"/>
                <w:szCs w:val="22"/>
              </w:rPr>
              <w:t>值</w:t>
            </w:r>
          </w:p>
        </w:tc>
        <w:tc>
          <w:tcPr>
            <w:tcW w:w="4817" w:type="dxa"/>
            <w:vAlign w:val="center"/>
          </w:tcPr>
          <w:p w:rsidR="00D114F0" w:rsidRDefault="004C5759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水质</w:t>
            </w:r>
            <w:r w:rsidRPr="0032242F">
              <w:rPr>
                <w:rFonts w:hAnsi="宋体"/>
                <w:sz w:val="22"/>
                <w:szCs w:val="22"/>
              </w:rPr>
              <w:t xml:space="preserve"> pH</w:t>
            </w:r>
            <w:r w:rsidRPr="0032242F">
              <w:rPr>
                <w:rFonts w:hAnsi="宋体"/>
                <w:sz w:val="22"/>
                <w:szCs w:val="22"/>
              </w:rPr>
              <w:t>值的测定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玻璃电极法</w:t>
            </w:r>
            <w:r w:rsidRPr="0032242F">
              <w:rPr>
                <w:rFonts w:hAnsi="宋体"/>
                <w:sz w:val="22"/>
                <w:szCs w:val="22"/>
              </w:rPr>
              <w:t xml:space="preserve"> GB/T 6920-1986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/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杨其伟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全盐量</w:t>
            </w:r>
          </w:p>
        </w:tc>
        <w:tc>
          <w:tcPr>
            <w:tcW w:w="4817" w:type="dxa"/>
            <w:vAlign w:val="center"/>
          </w:tcPr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全盐量的测定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重量法</w:t>
            </w:r>
            <w:r w:rsidRPr="003242D0">
              <w:rPr>
                <w:rFonts w:hAnsi="宋体"/>
                <w:sz w:val="22"/>
                <w:szCs w:val="22"/>
              </w:rPr>
              <w:t xml:space="preserve"> HJ/T 51-1999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化学需氧量</w:t>
            </w:r>
          </w:p>
        </w:tc>
        <w:tc>
          <w:tcPr>
            <w:tcW w:w="4817" w:type="dxa"/>
            <w:vAlign w:val="center"/>
          </w:tcPr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化学需氧量的测定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重铬酸盐法</w:t>
            </w:r>
            <w:r w:rsidRPr="003242D0">
              <w:rPr>
                <w:rFonts w:hAnsi="宋体"/>
                <w:sz w:val="22"/>
                <w:szCs w:val="22"/>
              </w:rPr>
              <w:t xml:space="preserve"> HJ 828-2017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4 mg/L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袁骞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总汞</w:t>
            </w:r>
          </w:p>
        </w:tc>
        <w:tc>
          <w:tcPr>
            <w:tcW w:w="4817" w:type="dxa"/>
            <w:vMerge w:val="restart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汞、砷、硒、铋和锑的测定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原子荧光法</w:t>
            </w:r>
            <w:r w:rsidRPr="003242D0">
              <w:rPr>
                <w:rFonts w:hAnsi="宋体"/>
                <w:sz w:val="22"/>
                <w:szCs w:val="22"/>
              </w:rPr>
              <w:t xml:space="preserve"> HJ 694-2014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4.00×10⁻⁵ mg/L</w:t>
            </w:r>
          </w:p>
        </w:tc>
        <w:tc>
          <w:tcPr>
            <w:tcW w:w="850" w:type="dxa"/>
            <w:vMerge w:val="restart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杜善良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总砷</w:t>
            </w:r>
          </w:p>
        </w:tc>
        <w:tc>
          <w:tcPr>
            <w:tcW w:w="4817" w:type="dxa"/>
            <w:vMerge/>
            <w:vAlign w:val="center"/>
          </w:tcPr>
          <w:p w:rsidR="00D114F0" w:rsidRPr="003242D0" w:rsidRDefault="00D114F0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3.0×10⁻⁴ mg/L</w:t>
            </w:r>
          </w:p>
        </w:tc>
        <w:tc>
          <w:tcPr>
            <w:tcW w:w="850" w:type="dxa"/>
            <w:vMerge/>
            <w:vAlign w:val="center"/>
          </w:tcPr>
          <w:p w:rsidR="00D114F0" w:rsidRDefault="00D114F0">
            <w:pPr>
              <w:pStyle w:val="Normala2e23acc-91c9-4e3b-bc1e-c4e873159b88"/>
              <w:jc w:val="center"/>
            </w:pP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总磷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总磷的测定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钼酸铵分光光度法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GB/T 11893-1989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0.01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杜珂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总铅</w:t>
            </w:r>
          </w:p>
        </w:tc>
        <w:tc>
          <w:tcPr>
            <w:tcW w:w="4817" w:type="dxa"/>
            <w:vMerge w:val="restart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铜、锌、铅、镉的测定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原子吸收分光光度法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GB 7475-1987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0.030 mg/L</w:t>
            </w:r>
          </w:p>
        </w:tc>
        <w:tc>
          <w:tcPr>
            <w:tcW w:w="850" w:type="dxa"/>
            <w:vMerge w:val="restart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闵祥艳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总镉</w:t>
            </w:r>
          </w:p>
        </w:tc>
        <w:tc>
          <w:tcPr>
            <w:tcW w:w="4817" w:type="dxa"/>
            <w:vMerge/>
            <w:vAlign w:val="center"/>
          </w:tcPr>
          <w:p w:rsidR="00D114F0" w:rsidRPr="003242D0" w:rsidRDefault="00D114F0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0.002 mg/L</w:t>
            </w:r>
          </w:p>
        </w:tc>
        <w:tc>
          <w:tcPr>
            <w:tcW w:w="850" w:type="dxa"/>
            <w:vMerge/>
            <w:vAlign w:val="center"/>
          </w:tcPr>
          <w:p w:rsidR="00D114F0" w:rsidRDefault="00D114F0">
            <w:pPr>
              <w:pStyle w:val="Normala2e23acc-91c9-4e3b-bc1e-c4e873159b88"/>
              <w:jc w:val="center"/>
            </w:pP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悬浮物</w:t>
            </w:r>
          </w:p>
        </w:tc>
        <w:tc>
          <w:tcPr>
            <w:tcW w:w="4817" w:type="dxa"/>
            <w:vAlign w:val="center"/>
          </w:tcPr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悬浮物的测定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重量法</w:t>
            </w:r>
            <w:r w:rsidRPr="003242D0">
              <w:rPr>
                <w:rFonts w:hAnsi="宋体"/>
                <w:sz w:val="22"/>
                <w:szCs w:val="22"/>
              </w:rPr>
              <w:t xml:space="preserve"> GB/T 11901-1989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挥发酚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挥发酚的测定</w:t>
            </w:r>
            <w:r w:rsidRPr="003242D0">
              <w:rPr>
                <w:rFonts w:hAnsi="宋体"/>
                <w:sz w:val="22"/>
                <w:szCs w:val="22"/>
              </w:rPr>
              <w:t xml:space="preserve"> 4-</w:t>
            </w:r>
            <w:r w:rsidRPr="003242D0">
              <w:rPr>
                <w:rFonts w:hAnsi="宋体"/>
                <w:sz w:val="22"/>
                <w:szCs w:val="22"/>
              </w:rPr>
              <w:t>氨基安替比林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HJ 503-2009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0.0003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庞超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氟化物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氟化物的测定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离子选择电极法</w:t>
            </w:r>
            <w:r w:rsidRPr="003242D0">
              <w:rPr>
                <w:rFonts w:hAnsi="宋体"/>
                <w:sz w:val="22"/>
                <w:szCs w:val="22"/>
              </w:rPr>
              <w:t xml:space="preserve"> GB/T 7484-1987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0.05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李敏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氨氮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氨氮的测定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纳氏试剂分光光度法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HJ 535-2009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0.025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水温</w:t>
            </w:r>
          </w:p>
        </w:tc>
        <w:tc>
          <w:tcPr>
            <w:tcW w:w="4817" w:type="dxa"/>
            <w:vAlign w:val="center"/>
          </w:tcPr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水温的测定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温度计或颠倒温度计测定法（温度计法）</w:t>
            </w:r>
            <w:r w:rsidRPr="003242D0">
              <w:rPr>
                <w:rFonts w:hAnsi="宋体"/>
                <w:sz w:val="22"/>
                <w:szCs w:val="22"/>
              </w:rPr>
              <w:t xml:space="preserve"> GB/T 13195-1991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850" w:type="dxa"/>
            <w:vMerge w:val="restart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杨其伟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流量</w:t>
            </w:r>
          </w:p>
        </w:tc>
        <w:tc>
          <w:tcPr>
            <w:tcW w:w="4817" w:type="dxa"/>
            <w:vAlign w:val="center"/>
          </w:tcPr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《污水监测技术规范》</w:t>
            </w:r>
            <w:r w:rsidRPr="003242D0">
              <w:rPr>
                <w:rFonts w:hAnsi="宋体"/>
                <w:sz w:val="22"/>
                <w:szCs w:val="22"/>
              </w:rPr>
              <w:t xml:space="preserve"> HJ91.1</w:t>
            </w:r>
            <w:r w:rsidRPr="003242D0">
              <w:rPr>
                <w:rFonts w:hAnsi="宋体"/>
                <w:sz w:val="22"/>
                <w:szCs w:val="22"/>
              </w:rPr>
              <w:t>－</w:t>
            </w:r>
            <w:r w:rsidRPr="003242D0">
              <w:rPr>
                <w:rFonts w:hAnsi="宋体"/>
                <w:sz w:val="22"/>
                <w:szCs w:val="22"/>
              </w:rPr>
              <w:t>2019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850" w:type="dxa"/>
            <w:vMerge/>
            <w:vAlign w:val="center"/>
          </w:tcPr>
          <w:p w:rsidR="00D114F0" w:rsidRDefault="00D114F0">
            <w:pPr>
              <w:pStyle w:val="Normala2e23acc-91c9-4e3b-bc1e-c4e873159b88"/>
              <w:jc w:val="center"/>
            </w:pP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溶解性总固体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城市污水水质标准检验方法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溶解性总固体的测定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重量法</w:t>
            </w:r>
            <w:r w:rsidRPr="003242D0">
              <w:rPr>
                <w:rFonts w:hAnsi="宋体"/>
                <w:sz w:val="22"/>
                <w:szCs w:val="22"/>
              </w:rPr>
              <w:t xml:space="preserve"> CJ/T 51-2018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石油类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石油类和动植物油类的测定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红外分光光度法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HJ 637-2018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0.06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杜善良</w:t>
            </w:r>
          </w:p>
        </w:tc>
      </w:tr>
      <w:tr w:rsidR="00D114F0" w:rsidTr="003242D0">
        <w:trPr>
          <w:trHeight w:val="454"/>
          <w:jc w:val="center"/>
        </w:trPr>
        <w:tc>
          <w:tcPr>
            <w:tcW w:w="213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硫化物</w:t>
            </w:r>
          </w:p>
        </w:tc>
        <w:tc>
          <w:tcPr>
            <w:tcW w:w="4817" w:type="dxa"/>
            <w:vAlign w:val="center"/>
          </w:tcPr>
          <w:p w:rsidR="00141A42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>水质</w:t>
            </w: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硫化物的测定</w:t>
            </w:r>
          </w:p>
          <w:p w:rsidR="00D114F0" w:rsidRPr="003242D0" w:rsidRDefault="004C5759" w:rsidP="003242D0">
            <w:pPr>
              <w:pStyle w:val="Normala2e23acc-91c9-4e3b-bc1e-c4e873159b8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42D0">
              <w:rPr>
                <w:rFonts w:hAnsi="宋体"/>
                <w:sz w:val="22"/>
                <w:szCs w:val="22"/>
              </w:rPr>
              <w:t xml:space="preserve"> </w:t>
            </w:r>
            <w:r w:rsidRPr="003242D0">
              <w:rPr>
                <w:rFonts w:hAnsi="宋体"/>
                <w:sz w:val="22"/>
                <w:szCs w:val="22"/>
              </w:rPr>
              <w:t>亚甲基蓝分光光度法</w:t>
            </w:r>
            <w:r w:rsidRPr="003242D0">
              <w:rPr>
                <w:rFonts w:hAnsi="宋体"/>
                <w:sz w:val="22"/>
                <w:szCs w:val="22"/>
              </w:rPr>
              <w:t xml:space="preserve"> GB/T 16489-1996</w:t>
            </w:r>
          </w:p>
        </w:tc>
        <w:tc>
          <w:tcPr>
            <w:tcW w:w="1559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0.005 (mg/L)</w:t>
            </w:r>
          </w:p>
        </w:tc>
        <w:tc>
          <w:tcPr>
            <w:tcW w:w="850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张存石</w:t>
            </w:r>
          </w:p>
        </w:tc>
      </w:tr>
    </w:tbl>
    <w:p w:rsidR="00D114F0" w:rsidRDefault="00D114F0">
      <w:pPr>
        <w:pStyle w:val="Normala2e23acc-91c9-4e3b-bc1e-c4e873159b88"/>
        <w:spacing w:line="20" w:lineRule="exact"/>
        <w:rPr>
          <w:rFonts w:hAnsi="宋体"/>
        </w:rPr>
      </w:pPr>
    </w:p>
    <w:p w:rsidR="00D114F0" w:rsidRDefault="00D114F0">
      <w:pPr>
        <w:pStyle w:val="Normala2e23acc-91c9-4e3b-bc1e-c4e873159b88"/>
        <w:spacing w:line="20" w:lineRule="exact"/>
        <w:rPr>
          <w:rFonts w:hAnsi="宋体"/>
        </w:rPr>
      </w:pPr>
    </w:p>
    <w:p w:rsidR="00D114F0" w:rsidRDefault="00D114F0">
      <w:pPr>
        <w:pStyle w:val="Normala2e23acc-91c9-4e3b-bc1e-c4e873159b88"/>
        <w:spacing w:line="20" w:lineRule="exact"/>
        <w:rPr>
          <w:rFonts w:hAnsi="宋体"/>
        </w:rPr>
      </w:pPr>
    </w:p>
    <w:p w:rsidR="00D114F0" w:rsidRDefault="00D114F0">
      <w:pPr>
        <w:pStyle w:val="Normala2e23acc-91c9-4e3b-bc1e-c4e873159b88"/>
        <w:spacing w:line="20" w:lineRule="exact"/>
        <w:rPr>
          <w:rFonts w:hAnsi="宋体"/>
        </w:rPr>
      </w:pPr>
    </w:p>
    <w:p w:rsidR="00D114F0" w:rsidRDefault="004C5759">
      <w:pPr>
        <w:pStyle w:val="Normala2e23acc-91c9-4e3b-bc1e-c4e873159b88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红外分光测油仪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原子吸收分光光度计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离子计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紫外可见分光光度计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(</w:t>
            </w:r>
            <w:r>
              <w:rPr>
                <w:sz w:val="22"/>
              </w:rPr>
              <w:t>新）原子荧光</w:t>
            </w:r>
          </w:p>
        </w:tc>
      </w:tr>
      <w:tr w:rsidR="00D114F0" w:rsidTr="00141A4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A2103X160</w:t>
            </w:r>
          </w:p>
        </w:tc>
        <w:tc>
          <w:tcPr>
            <w:tcW w:w="2977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D114F0" w:rsidRDefault="004C5759">
            <w:pPr>
              <w:pStyle w:val="Normala2e23acc-91c9-4e3b-bc1e-c4e873159b88"/>
              <w:jc w:val="center"/>
            </w:pPr>
            <w:r>
              <w:rPr>
                <w:sz w:val="22"/>
              </w:rPr>
              <w:t>酸度计</w:t>
            </w:r>
          </w:p>
        </w:tc>
      </w:tr>
    </w:tbl>
    <w:p w:rsidR="00D114F0" w:rsidRDefault="00D114F0">
      <w:pPr>
        <w:pStyle w:val="Normala2e23acc-91c9-4e3b-bc1e-c4e873159b88"/>
        <w:rPr>
          <w:sz w:val="22"/>
          <w:szCs w:val="22"/>
        </w:rPr>
      </w:pPr>
    </w:p>
    <w:p w:rsidR="00D114F0" w:rsidRDefault="004C5759">
      <w:pPr>
        <w:pStyle w:val="Normala2e23acc-91c9-4e3b-bc1e-c4e873159b88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D114F0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89" w:rsidRDefault="009F3589">
      <w:r>
        <w:separator/>
      </w:r>
    </w:p>
  </w:endnote>
  <w:endnote w:type="continuationSeparator" w:id="0">
    <w:p w:rsidR="009F3589" w:rsidRDefault="009F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4F0" w:rsidRDefault="004C5759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4364D7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4364D7">
      <w:rPr>
        <w:rFonts w:hAnsi="宋体"/>
        <w:noProof/>
      </w:rPr>
      <w:t>3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89" w:rsidRDefault="009F3589">
      <w:r>
        <w:separator/>
      </w:r>
    </w:p>
  </w:footnote>
  <w:footnote w:type="continuationSeparator" w:id="0">
    <w:p w:rsidR="009F3589" w:rsidRDefault="009F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4F0" w:rsidRDefault="00D114F0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4F0" w:rsidRDefault="004C5759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2021年第097-6号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056C2"/>
    <w:multiLevelType w:val="multilevel"/>
    <w:tmpl w:val="3984092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CD5575C"/>
    <w:multiLevelType w:val="multilevel"/>
    <w:tmpl w:val="6D68888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F0"/>
    <w:rsid w:val="00141A42"/>
    <w:rsid w:val="003242D0"/>
    <w:rsid w:val="004364D7"/>
    <w:rsid w:val="004C32EF"/>
    <w:rsid w:val="004C5759"/>
    <w:rsid w:val="009F3589"/>
    <w:rsid w:val="00B10E2E"/>
    <w:rsid w:val="00BC34BA"/>
    <w:rsid w:val="00D1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D8DACF-740F-4075-9BF7-DE671EA6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a2e23acc-91c9-4e3b-bc1e-c4e873159b88">
    <w:name w:val="Normal_a2e23acc-91c9-4e3b-bc1e-c4e873159b88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03cb1383-d8d2-404d-aa3b-fb3ca10aa710">
    <w:name w:val="Normal_03cb1383-d8d2-404d-aa3b-fb3ca10aa710"/>
    <w:qFormat/>
    <w:rsid w:val="00B10E2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e9cc646c-39ac-4baf-824d-d6ee7916f9cd">
    <w:name w:val="Normal_e9cc646c-39ac-4baf-824d-d6ee7916f9cd"/>
    <w:qFormat/>
    <w:rsid w:val="00B10E2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6f164293-93ab-46d3-babc-5e65bdc114ec">
    <w:name w:val="Normal_6f164293-93ab-46d3-babc-5e65bdc114ec"/>
    <w:qFormat/>
    <w:rsid w:val="00B10E2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11853386-f875-4fb5-b6eb-9bbb2fb4b987">
    <w:name w:val="Normal_11853386-f875-4fb5-b6eb-9bbb2fb4b987"/>
    <w:qFormat/>
    <w:rsid w:val="003242D0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Props1.xml><?xml version="1.0" encoding="utf-8"?>
<ds:datastoreItem xmlns:ds="http://schemas.openxmlformats.org/officeDocument/2006/customXml" ds:itemID="{F6EDBF1E-3C55-4556-B88D-E342BC1195EB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1B913FF9-1FBC-49A9-9AD2-846B1B5F4109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B66311C-FBD9-472D-AFE2-F977BC05D8AF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2022-02-09T02:56:00Z</dcterms:created>
  <dcterms:modified xsi:type="dcterms:W3CDTF">2022-02-09T02:56:00Z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